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 w:bidi="ar-SA"/>
        </w:rPr>
        <w:t>省重大新型研发机构绩效考核结果</w:t>
      </w:r>
    </w:p>
    <w:tbl>
      <w:tblPr>
        <w:tblStyle w:val="4"/>
        <w:tblW w:w="9945" w:type="dxa"/>
        <w:tblInd w:w="-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5640"/>
        <w:gridCol w:w="1440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郑州大学产业技术研究院有限公司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郑州中科新兴产业技术研究院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河南生物育种中心有限公司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郑州信大先进技术研究院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河南河大纳米材料工程研究中心有限公司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郑州轻大产业技术研究院有限公司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中科大数据研究院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河南驼人医疗器械研究院有限公司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洛阳特种材料研究院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中科（洛阳）机器人与智能装备研究院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河南电池研究院有限公司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郑州计量先进技术研究院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洛阳尖端技术研究院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郑州新世纪材料基因组工程研究院有限公司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洛阳中科信息产业研究院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16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清研（洛阳）先进制造产业研究院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建设单位发生重大变化，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不具备考评条件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65D15"/>
    <w:rsid w:val="0CBE021A"/>
    <w:rsid w:val="368D5265"/>
    <w:rsid w:val="44265D15"/>
    <w:rsid w:val="64C5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unhideWhenUsed/>
    <w:qFormat/>
    <w:uiPriority w:val="9"/>
    <w:pPr>
      <w:keepNext/>
      <w:keepLines/>
      <w:widowControl w:val="0"/>
      <w:spacing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2025-08-28T01:52:00Z</dcterms:created>
  <dc:creator>Administrator</dc:creator>
  <cp:lastModifiedBy>Administrator</cp:lastModifiedBy>
  <dcterms:modified xsi:type="dcterms:W3CDTF">2025-08-28T01:53:07Z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